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Shopping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Plan 3 – Spot the difference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97"/>
        <w:tblGridChange w:id="0">
          <w:tblGrid>
            <w:gridCol w:w="1276"/>
            <w:gridCol w:w="7597"/>
          </w:tblGrid>
        </w:tblGridChange>
      </w:tblGrid>
      <w:tr>
        <w:trPr>
          <w:trHeight w:val="530" w:hRule="atLeast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3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</w:t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objectives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afterAutospacing="0" w:line="276" w:lineRule="auto"/>
              <w:ind w:left="720" w:hanging="360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Being able to link colours with clothing items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afterAutospacing="0" w:line="276" w:lineRule="auto"/>
              <w:ind w:left="720" w:hanging="360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Spotting differences between 2 similar images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0" w:afterAutospacing="0" w:line="276" w:lineRule="auto"/>
              <w:ind w:left="720" w:hanging="360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sz w:val="24"/>
                    <w:szCs w:val="24"/>
                    <w:rtl w:val="0"/>
                  </w:rPr>
                  <w:t xml:space="preserve">Understanding an old Chinese comics, Old Master Q, and its character 大番薯（dafanshu)</w:t>
                </w:r>
              </w:sdtContent>
            </w:sdt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320" w:line="276" w:lineRule="auto"/>
              <w:ind w:left="720" w:hanging="360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Writing with specific details, including colour + object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46.757812499999" w:hRule="atLeast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min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min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Introduce the Lesson &amp; LO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colour in homework from the previous lesson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 3 : Ask students to take out the homework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Slide 4: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Teacher randomly points at a picture and asks “zheshishenme? Students will put the hand up to say the correct answer.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Slides 5 &amp;6: Then ask a student to be the teacher and randomly points at a picture and asks “zheshishenme? Students will put the hand up to say the correct answer.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Spot the difference between left &amp; right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 7: Differences between Minion vs Big Kumara</w:t>
            </w: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 8: Introduce the background of Big Kumara from the Old Master Q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 9: Write down 3 differences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Slides 10-13: In pairs, spot the difference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Slides 14- 17: Individually, spot the difference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Homework: Complete the writing (spot differences)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Reminder: Continue to work on Quizlet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2" w:hRule="atLeast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“Homework - Colours &amp; clothes - answers)(Word)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“Spot the difference - task sheet” (Word)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Quizlet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(see PPT)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Old Master Q comics https://www.oldmasterq.com/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Sun"/>
  <w:font w:name="Trebuchet MS"/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5"/>
      <w:numFmt w:val="bullet"/>
      <w:lvlText w:val="-"/>
      <w:lvlJc w:val="left"/>
      <w:pPr>
        <w:ind w:left="2160" w:hanging="360"/>
      </w:pPr>
      <w:rPr>
        <w:rFonts w:ascii="Trebuchet MS" w:cs="Trebuchet MS" w:eastAsia="Trebuchet MS" w:hAnsi="Trebuchet M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59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55980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5980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855980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29418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l3O9YeBpaCwHL3QmbFAhjdcVsg==">AMUW2mX0FqnkCS3wV7w2YJbIIAx14GmecwrQFVVRm8Q6+AS6dJZRBShBG8HV+HGg7PoIEkc1vJMGKL/FPynr2E4zH6uTnMz/xzt1BbNCahjbMom8If9PPmg+feNreRU8Essb41QcADybW/FcdVoIutrkMBqV1vO2qpw6CQ+c8BpPVXVOIeJTTcE=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2020-10-03T04:57:00Z</dcterms:created>
  <dc:creator>Bingmei Zhang</dc:creator>
</cp:coreProperties>
</file>